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5B3E" w14:textId="18082437" w:rsidR="00577750" w:rsidRPr="00AB1894" w:rsidRDefault="00563753" w:rsidP="007322AF">
      <w:pPr>
        <w:autoSpaceDE w:val="0"/>
        <w:autoSpaceDN w:val="0"/>
        <w:adjustRightInd w:val="0"/>
        <w:spacing w:after="0" w:line="240" w:lineRule="auto"/>
        <w:ind w:right="1699"/>
        <w:rPr>
          <w:rFonts w:ascii="Arial" w:hAnsi="Arial" w:cs="Arial"/>
          <w:b/>
          <w:bCs/>
          <w:sz w:val="40"/>
          <w:szCs w:val="40"/>
        </w:rPr>
      </w:pPr>
      <w:bookmarkStart w:id="0" w:name="_Hlk83848647"/>
      <w:bookmarkEnd w:id="0"/>
      <w:r w:rsidRPr="00AB1894">
        <w:rPr>
          <w:rFonts w:ascii="Arial" w:hAnsi="Arial" w:cs="Arial"/>
          <w:b/>
          <w:bCs/>
          <w:sz w:val="40"/>
          <w:szCs w:val="40"/>
        </w:rPr>
        <w:t>Medieninformation</w:t>
      </w:r>
    </w:p>
    <w:p w14:paraId="023AB092" w14:textId="01ABB19F" w:rsidR="00376D12" w:rsidRPr="00AB1894" w:rsidRDefault="00B43C29" w:rsidP="007322AF">
      <w:pPr>
        <w:pStyle w:val="Kopfzeile"/>
        <w:tabs>
          <w:tab w:val="clear" w:pos="4536"/>
          <w:tab w:val="clear" w:pos="9072"/>
          <w:tab w:val="left" w:pos="6804"/>
        </w:tabs>
        <w:ind w:right="1699"/>
        <w:rPr>
          <w:rFonts w:ascii="Arial" w:hAnsi="Arial" w:cs="Arial"/>
          <w:sz w:val="24"/>
          <w:szCs w:val="24"/>
        </w:rPr>
      </w:pPr>
      <w:r w:rsidRPr="00AB18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9768184" wp14:editId="1576B0F8">
                <wp:simplePos x="0" y="0"/>
                <wp:positionH relativeFrom="margin">
                  <wp:posOffset>4251960</wp:posOffset>
                </wp:positionH>
                <wp:positionV relativeFrom="margin">
                  <wp:posOffset>6095365</wp:posOffset>
                </wp:positionV>
                <wp:extent cx="2001600" cy="1177200"/>
                <wp:effectExtent l="0" t="0" r="0" b="44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600" cy="11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9105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Pressekontakt:</w:t>
                            </w:r>
                          </w:p>
                          <w:p w14:paraId="4DC369A5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>Birgit Borreck</w:t>
                            </w:r>
                          </w:p>
                          <w:p w14:paraId="5CB8D075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>Tel.: +49 221 48901-51</w:t>
                            </w:r>
                          </w:p>
                          <w:p w14:paraId="3921F976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>Birgit.Borreck@honestis.ag</w:t>
                            </w:r>
                          </w:p>
                          <w:p w14:paraId="676BFF5A" w14:textId="77777777" w:rsidR="00B43C29" w:rsidRPr="00AB1894" w:rsidRDefault="00B43C29" w:rsidP="00B43C29">
                            <w:pPr>
                              <w:pStyle w:val="Textkrper2"/>
                              <w:ind w:right="-1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>dorint.com/presse</w:t>
                            </w:r>
                          </w:p>
                          <w:p w14:paraId="35301795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057A96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Sprecher der Geschäftsführung:</w:t>
                            </w:r>
                          </w:p>
                          <w:p w14:paraId="1A3C7C99" w14:textId="77777777" w:rsidR="00B43C29" w:rsidRPr="00AB1894" w:rsidRDefault="00B43C29" w:rsidP="00B43C29">
                            <w:pPr>
                              <w:pStyle w:val="Textkrper2"/>
                              <w:ind w:right="142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AB189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>Jörg T. Böckeler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81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8pt;margin-top:479.95pt;width:157.6pt;height:92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YyCAIAAPMDAAAOAAAAZHJzL2Uyb0RvYy54bWysU9tuGyEQfa/Uf0C817tr2bmsvI7SpKkq&#10;pRcp6QdgLl5UYChg77pf34F1HKt9q8oDAmbmzJwzw+pmtIbsZYgaXEebWU2JdByEdtuOfn9+eHdF&#10;SUzMCWbAyY4eZKQ367dvVoNv5Rx6MEIGgiAutoPvaJ+Sb6sq8l5aFmfgpUOjgmBZwmvYViKwAdGt&#10;qeZ1fVENEIQPwGWM+Ho/Gem64CslefqqVJSJmI5ibansoeybvFfrFWu3gfle82MZ7B+qsEw7THqC&#10;umeJkV3Qf0FZzQNEUGnGwVaglOaycEA2Tf0Hm6eeeVm4oDjRn2SK/w+Wf9l/C0QL7B0ljlls0bMc&#10;k5JGkHlWZ/CxRacnj25pfA9j9sxMo38E/iMSB3c9c1t5GwIMvWQCq2tyZHUWOuHEDLIZPoPANGyX&#10;oACNKtgMiGIQRMcuHU6dwVIIx0dsdXNRo4mjrWkuL/Gh5GDtS7gPMX2UYEk+dDRg6ws82z/GlMth&#10;7YtLzubgQRtT2m8cGTp6vZwvS8CZxeqE02m07ehVndc0L5nlBydKcGLaTGdMYNyRdmY6cU7jZkTH&#10;rMUGxAEFCDBNIf4aPPQQflEy4AR2NP7csSApMZ8cinjdLBZ5ZMtlsUTKlIRzy+bcwhxHqI4mSqbj&#10;XSpjPnG9RbGVLjK8VnKsFSerqHP8BXl0z+/F6/Wvrn8DAAD//wMAUEsDBBQABgAIAAAAIQCB4O/n&#10;3wAAAAwBAAAPAAAAZHJzL2Rvd25yZXYueG1sTI/LTsMwEEX3SPyDNUjsqF1IojrEqRCILYjykNi5&#10;8TSJiMdR7Dbh7xlWsBzN0b3nVtvFD+KEU+wDGVivFAikJrieWgNvr49XGxAxWXJ2CIQGvjHCtj4/&#10;q2zpwkwveNqlVnAIxdIa6FIaSylj06G3cRVGJP4dwuRt4nNqpZvszOF+kNdKFdLbnrihsyPed9h8&#10;7Y7ewPvT4fMjU8/tg8/HOSxKktfSmMuL5e4WRMIl/cHwq8/qULPTPhzJRTEYKApdMGpA51qDYEJv&#10;Mh6zZ3Sd5Tcg60r+H1H/AAAA//8DAFBLAQItABQABgAIAAAAIQC2gziS/gAAAOEBAAATAAAAAAAA&#10;AAAAAAAAAAAAAABbQ29udGVudF9UeXBlc10ueG1sUEsBAi0AFAAGAAgAAAAhADj9If/WAAAAlAEA&#10;AAsAAAAAAAAAAAAAAAAALwEAAF9yZWxzLy5yZWxzUEsBAi0AFAAGAAgAAAAhAE5UVjIIAgAA8wMA&#10;AA4AAAAAAAAAAAAAAAAALgIAAGRycy9lMm9Eb2MueG1sUEsBAi0AFAAGAAgAAAAhAIHg7+ffAAAA&#10;DAEAAA8AAAAAAAAAAAAAAAAAYgQAAGRycy9kb3ducmV2LnhtbFBLBQYAAAAABAAEAPMAAABuBQAA&#10;AAA=&#10;" filled="f" stroked="f">
                <v:textbox>
                  <w:txbxContent>
                    <w:p w14:paraId="6B379105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sz w:val="16"/>
                          <w:szCs w:val="16"/>
                        </w:rPr>
                        <w:t>Pressekontakt:</w:t>
                      </w:r>
                    </w:p>
                    <w:p w14:paraId="4DC369A5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>Birgit Borreck</w:t>
                      </w:r>
                    </w:p>
                    <w:p w14:paraId="5CB8D075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>Tel.: +49 221 48901-51</w:t>
                      </w:r>
                    </w:p>
                    <w:p w14:paraId="3921F976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>Birgit.Borreck@honestis.ag</w:t>
                      </w:r>
                    </w:p>
                    <w:p w14:paraId="676BFF5A" w14:textId="77777777" w:rsidR="00B43C29" w:rsidRPr="00AB1894" w:rsidRDefault="00B43C29" w:rsidP="00B43C29">
                      <w:pPr>
                        <w:pStyle w:val="Textkrper2"/>
                        <w:ind w:right="-1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>dorint.com/presse</w:t>
                      </w:r>
                    </w:p>
                    <w:p w14:paraId="35301795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057A96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sz w:val="16"/>
                          <w:szCs w:val="16"/>
                        </w:rPr>
                        <w:t>Sprecher der Geschäftsführung:</w:t>
                      </w:r>
                    </w:p>
                    <w:p w14:paraId="1A3C7C99" w14:textId="77777777" w:rsidR="00B43C29" w:rsidRPr="00AB1894" w:rsidRDefault="00B43C29" w:rsidP="00B43C29">
                      <w:pPr>
                        <w:pStyle w:val="Textkrper2"/>
                        <w:ind w:right="142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</w:pPr>
                      <w:r w:rsidRPr="00AB189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>Jörg T. Böckeler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E8B9EED" w14:textId="77777777" w:rsidR="000F66CA" w:rsidRPr="00AB1894" w:rsidRDefault="000F66CA" w:rsidP="007322AF">
      <w:pPr>
        <w:ind w:right="1699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Dorint Hotelgruppe: </w:t>
      </w:r>
    </w:p>
    <w:p w14:paraId="32C9E3AC" w14:textId="5A64B587" w:rsidR="00722653" w:rsidRPr="00AB1894" w:rsidRDefault="000F66CA" w:rsidP="007322AF">
      <w:pPr>
        <w:ind w:right="1699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Das Luxushotel „</w:t>
      </w:r>
      <w:r w:rsidR="00722653"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Grand Tirolia Kitzbühel</w:t>
      </w:r>
      <w:r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“</w:t>
      </w:r>
      <w:r w:rsidR="0089574D"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wird ein Haus der</w:t>
      </w:r>
      <w:r w:rsidR="00722653"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HOMMAGE</w:t>
      </w:r>
      <w:r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L</w:t>
      </w:r>
      <w:r w:rsidR="0089574D" w:rsidRPr="00AB18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UXURY HOTELS COLLECTION </w:t>
      </w:r>
    </w:p>
    <w:p w14:paraId="3854DC35" w14:textId="77777777" w:rsidR="004409E2" w:rsidRPr="00AB1894" w:rsidRDefault="004409E2" w:rsidP="007322AF">
      <w:pPr>
        <w:spacing w:line="360" w:lineRule="auto"/>
        <w:ind w:right="1699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76858803" w14:textId="5164A576" w:rsidR="007069AF" w:rsidRPr="00AB1894" w:rsidRDefault="00C64CD8" w:rsidP="007322AF">
      <w:pPr>
        <w:spacing w:line="360" w:lineRule="auto"/>
        <w:ind w:right="1699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AB1894">
        <w:rPr>
          <w:rFonts w:ascii="Arial" w:eastAsia="Times New Roman" w:hAnsi="Arial" w:cs="Arial"/>
          <w:b/>
          <w:bCs/>
          <w:color w:val="000000"/>
          <w:lang w:eastAsia="de-DE"/>
        </w:rPr>
        <w:t xml:space="preserve">Köln, 30. September 2021 – Kontrolliertes Wachstum im Leisure Segment hat angesichts der Corona-Krise an Bedeutung </w:t>
      </w:r>
      <w:r w:rsidR="007F6E07" w:rsidRPr="00AB1894">
        <w:rPr>
          <w:rFonts w:ascii="Arial" w:eastAsia="Times New Roman" w:hAnsi="Arial" w:cs="Arial"/>
          <w:b/>
          <w:bCs/>
          <w:color w:val="000000"/>
          <w:lang w:eastAsia="de-DE"/>
        </w:rPr>
        <w:t>gewonnen</w:t>
      </w:r>
      <w:r w:rsidRPr="00AB1894">
        <w:rPr>
          <w:rFonts w:ascii="Arial" w:eastAsia="Times New Roman" w:hAnsi="Arial" w:cs="Arial"/>
          <w:b/>
          <w:bCs/>
          <w:color w:val="000000"/>
          <w:lang w:eastAsia="de-DE"/>
        </w:rPr>
        <w:t xml:space="preserve">. Dirk Iserlohe, Aufsichtsratschef, gibt daher heute </w:t>
      </w:r>
      <w:r w:rsidR="007F6E07" w:rsidRPr="00AB1894">
        <w:rPr>
          <w:rFonts w:ascii="Arial" w:eastAsia="Times New Roman" w:hAnsi="Arial" w:cs="Arial"/>
          <w:b/>
          <w:bCs/>
          <w:color w:val="000000"/>
          <w:lang w:eastAsia="de-DE"/>
        </w:rPr>
        <w:t xml:space="preserve">zuversichtlich und mit </w:t>
      </w:r>
      <w:r w:rsidRPr="00AB1894">
        <w:rPr>
          <w:rFonts w:ascii="Arial" w:eastAsia="Times New Roman" w:hAnsi="Arial" w:cs="Arial"/>
          <w:b/>
          <w:bCs/>
          <w:color w:val="000000"/>
          <w:lang w:eastAsia="de-DE"/>
        </w:rPr>
        <w:t>Freude bekannt, dass die DHI Dorint Hospitality &amp; Innovation GmbH (DHI) das an einem sensationellen Standort gelegene Luxus</w:t>
      </w:r>
      <w:r w:rsidR="00D63771" w:rsidRPr="00AB1894">
        <w:rPr>
          <w:rFonts w:ascii="Arial" w:eastAsia="Times New Roman" w:hAnsi="Arial" w:cs="Arial"/>
          <w:b/>
          <w:bCs/>
          <w:color w:val="000000"/>
          <w:lang w:eastAsia="de-DE"/>
        </w:rPr>
        <w:t>-</w:t>
      </w:r>
      <w:r w:rsidRPr="00AB1894">
        <w:rPr>
          <w:rFonts w:ascii="Arial" w:eastAsia="Times New Roman" w:hAnsi="Arial" w:cs="Arial"/>
          <w:b/>
          <w:bCs/>
          <w:color w:val="000000"/>
          <w:lang w:eastAsia="de-DE"/>
        </w:rPr>
        <w:t>Hotel „Grand Tirolia Kitzbühel“ rechtzeitig zur Wintersaison 2021/22 übernimmt. Das Hotel – eingebettet in einen der schönsten Golfplätze Europas – wird am 20. Dezember 2021 als ein Haus der HOMMAGE LUXURY HOTELS COLLECTION wieder eröffnet. „Ich bin stolz, dass wir mit unserer Fünf-Sterne-Marke den Zuschlag für den Pachtvertrag erhalten haben“, so Dirk Iserlohe.</w:t>
      </w:r>
    </w:p>
    <w:p w14:paraId="7FDBC8C3" w14:textId="5F8D3D12" w:rsidR="0048074F" w:rsidRPr="00AB1894" w:rsidRDefault="0089574D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t xml:space="preserve">Die </w:t>
      </w:r>
      <w:r w:rsidR="007069AF" w:rsidRPr="00AB1894">
        <w:rPr>
          <w:rFonts w:ascii="Arial" w:eastAsia="Times New Roman" w:hAnsi="Arial" w:cs="Arial"/>
          <w:color w:val="000000"/>
          <w:lang w:eastAsia="de-DE"/>
        </w:rPr>
        <w:t>Verhandlungen um die</w:t>
      </w:r>
      <w:r w:rsidR="0099237F" w:rsidRPr="00AB1894">
        <w:rPr>
          <w:rFonts w:ascii="Arial" w:eastAsia="Times New Roman" w:hAnsi="Arial" w:cs="Arial"/>
          <w:color w:val="000000"/>
          <w:lang w:eastAsia="de-DE"/>
        </w:rPr>
        <w:t xml:space="preserve"> Eintrittsbedingungen </w:t>
      </w:r>
      <w:r w:rsidR="000F66CA" w:rsidRPr="00AB1894">
        <w:rPr>
          <w:rFonts w:ascii="Arial" w:eastAsia="Times New Roman" w:hAnsi="Arial" w:cs="Arial"/>
          <w:color w:val="000000"/>
          <w:lang w:eastAsia="de-DE"/>
        </w:rPr>
        <w:t>in einen Pachtvertrag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wurden mit dem Eigentümer, </w:t>
      </w:r>
      <w:r w:rsidR="004409E2" w:rsidRPr="00AB1894">
        <w:rPr>
          <w:rFonts w:ascii="Arial" w:eastAsia="Times New Roman" w:hAnsi="Arial" w:cs="Arial"/>
          <w:color w:val="000000"/>
          <w:lang w:eastAsia="de-DE"/>
        </w:rPr>
        <w:t xml:space="preserve">federführend mit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dem Kremser </w:t>
      </w:r>
      <w:r w:rsidR="00A21675" w:rsidRPr="00AB1894">
        <w:rPr>
          <w:rFonts w:ascii="Arial" w:eastAsia="Times New Roman" w:hAnsi="Arial" w:cs="Arial"/>
          <w:color w:val="000000"/>
          <w:lang w:eastAsia="de-DE"/>
        </w:rPr>
        <w:t>Immobilienentwickler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Othmar Seidl, </w:t>
      </w:r>
      <w:r w:rsidR="0048074F" w:rsidRPr="00AB1894">
        <w:rPr>
          <w:rFonts w:ascii="Arial" w:eastAsia="Times New Roman" w:hAnsi="Arial" w:cs="Arial"/>
          <w:color w:val="000000"/>
          <w:lang w:eastAsia="de-DE"/>
        </w:rPr>
        <w:t xml:space="preserve">stets </w:t>
      </w:r>
      <w:r w:rsidRPr="00AB1894">
        <w:rPr>
          <w:rFonts w:ascii="Arial" w:eastAsia="Times New Roman" w:hAnsi="Arial" w:cs="Arial"/>
          <w:color w:val="000000"/>
          <w:lang w:eastAsia="de-DE"/>
        </w:rPr>
        <w:t>verantwortungsbewusst</w:t>
      </w:r>
      <w:r w:rsidR="0048074F" w:rsidRPr="00AB1894">
        <w:rPr>
          <w:rFonts w:ascii="Arial" w:eastAsia="Times New Roman" w:hAnsi="Arial" w:cs="Arial"/>
          <w:color w:val="000000"/>
          <w:lang w:eastAsia="de-DE"/>
        </w:rPr>
        <w:t xml:space="preserve"> und auf Augenhöhe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geführt. </w:t>
      </w:r>
    </w:p>
    <w:p w14:paraId="5150B243" w14:textId="371F188A" w:rsidR="004409E2" w:rsidRPr="00AB1894" w:rsidRDefault="0048074F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lastRenderedPageBreak/>
        <w:t xml:space="preserve">Das 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>Luxus</w:t>
      </w:r>
      <w:r w:rsidR="00F34195" w:rsidRPr="00AB1894">
        <w:rPr>
          <w:rFonts w:ascii="Arial" w:eastAsia="Times New Roman" w:hAnsi="Arial" w:cs="Arial"/>
          <w:color w:val="000000"/>
          <w:lang w:eastAsia="de-DE"/>
        </w:rPr>
        <w:t>-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Resort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verfügt über 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81 Zimmer,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zwei 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Tagungsräume für bis zu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jeweils 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80 Personen, </w:t>
      </w:r>
      <w:r w:rsidRPr="00AB1894">
        <w:rPr>
          <w:rFonts w:ascii="Arial" w:eastAsia="Times New Roman" w:hAnsi="Arial" w:cs="Arial"/>
          <w:color w:val="000000"/>
          <w:lang w:eastAsia="de-DE"/>
        </w:rPr>
        <w:t>ein</w:t>
      </w:r>
      <w:r w:rsidR="00C64CD8" w:rsidRPr="00AB1894">
        <w:rPr>
          <w:rFonts w:ascii="Arial" w:eastAsia="Times New Roman" w:hAnsi="Arial" w:cs="Arial"/>
          <w:color w:val="000000"/>
          <w:lang w:eastAsia="de-DE"/>
        </w:rPr>
        <w:t>en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>Board</w:t>
      </w:r>
      <w:r w:rsidR="00F568A9" w:rsidRPr="00AB1894">
        <w:rPr>
          <w:rFonts w:ascii="Arial" w:eastAsia="Times New Roman" w:hAnsi="Arial" w:cs="Arial"/>
          <w:color w:val="000000"/>
          <w:lang w:eastAsia="de-DE"/>
        </w:rPr>
        <w:t>-R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>oom, eine</w:t>
      </w:r>
      <w:r w:rsidR="00C64CD8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 Ballsaal 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 xml:space="preserve">für 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bis zu 400 </w:t>
      </w:r>
      <w:r w:rsidRPr="00AB1894">
        <w:rPr>
          <w:rFonts w:ascii="Arial" w:eastAsia="Times New Roman" w:hAnsi="Arial" w:cs="Arial"/>
          <w:color w:val="000000"/>
          <w:lang w:eastAsia="de-DE"/>
        </w:rPr>
        <w:t>Gäste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>, mehrere Restaurants</w:t>
      </w:r>
      <w:r w:rsidR="00E075BC" w:rsidRPr="00AB1894">
        <w:rPr>
          <w:rFonts w:ascii="Arial" w:eastAsia="Times New Roman" w:hAnsi="Arial" w:cs="Arial"/>
          <w:color w:val="000000"/>
          <w:lang w:eastAsia="de-DE"/>
        </w:rPr>
        <w:t>,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 zwei Bars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>und eine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F568A9" w:rsidRPr="00AB1894">
        <w:rPr>
          <w:rFonts w:ascii="Arial" w:eastAsia="Times New Roman" w:hAnsi="Arial" w:cs="Arial"/>
          <w:color w:val="000000"/>
          <w:lang w:eastAsia="de-DE"/>
        </w:rPr>
        <w:t>S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>pa-Bereich v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on 1.500 m², 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 xml:space="preserve">darüber hinaus </w:t>
      </w:r>
      <w:r w:rsidR="007F6E07" w:rsidRPr="00AB1894">
        <w:rPr>
          <w:rFonts w:ascii="Arial" w:eastAsia="Times New Roman" w:hAnsi="Arial" w:cs="Arial"/>
          <w:color w:val="000000"/>
          <w:lang w:eastAsia="de-DE"/>
        </w:rPr>
        <w:t xml:space="preserve">über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>eine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 Skikeller, </w:t>
      </w:r>
      <w:r w:rsidRPr="00AB1894">
        <w:rPr>
          <w:rFonts w:ascii="Arial" w:eastAsia="Times New Roman" w:hAnsi="Arial" w:cs="Arial"/>
          <w:color w:val="000000"/>
          <w:lang w:eastAsia="de-DE"/>
        </w:rPr>
        <w:t>ein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Sportfachgeschäft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und </w:t>
      </w:r>
      <w:r w:rsidR="002837AE" w:rsidRPr="00AB1894">
        <w:rPr>
          <w:rFonts w:ascii="Arial" w:eastAsia="Times New Roman" w:hAnsi="Arial" w:cs="Arial"/>
          <w:color w:val="000000"/>
          <w:lang w:eastAsia="de-DE"/>
        </w:rPr>
        <w:t>ausreichend Per</w:t>
      </w:r>
      <w:r w:rsidRPr="00AB1894">
        <w:rPr>
          <w:rFonts w:ascii="Arial" w:eastAsia="Times New Roman" w:hAnsi="Arial" w:cs="Arial"/>
          <w:color w:val="000000"/>
          <w:lang w:eastAsia="de-DE"/>
        </w:rPr>
        <w:t>sonal</w:t>
      </w:r>
      <w:r w:rsidR="002837AE" w:rsidRPr="00AB1894">
        <w:rPr>
          <w:rFonts w:ascii="Arial" w:eastAsia="Times New Roman" w:hAnsi="Arial" w:cs="Arial"/>
          <w:color w:val="000000"/>
          <w:lang w:eastAsia="de-DE"/>
        </w:rPr>
        <w:t>wohnungen</w:t>
      </w:r>
      <w:r w:rsidRPr="00AB1894">
        <w:rPr>
          <w:rFonts w:ascii="Arial" w:eastAsia="Times New Roman" w:hAnsi="Arial" w:cs="Arial"/>
          <w:color w:val="000000"/>
          <w:lang w:eastAsia="de-DE"/>
        </w:rPr>
        <w:t>.</w:t>
      </w:r>
      <w:r w:rsidR="004409E2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5F87494D" w14:textId="352F1DC7" w:rsidR="004A0786" w:rsidRPr="00AB1894" w:rsidRDefault="0048074F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t>„</w:t>
      </w:r>
      <w:r w:rsidR="00CD6A3B" w:rsidRPr="00AB1894">
        <w:rPr>
          <w:rFonts w:ascii="Arial" w:eastAsia="Times New Roman" w:hAnsi="Arial" w:cs="Arial"/>
          <w:color w:val="000000"/>
          <w:lang w:eastAsia="de-DE"/>
        </w:rPr>
        <w:t xml:space="preserve">Nach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den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>sechs</w:t>
      </w:r>
      <w:r w:rsidRPr="00AB1894">
        <w:rPr>
          <w:rFonts w:ascii="Arial" w:eastAsia="Times New Roman" w:hAnsi="Arial" w:cs="Arial"/>
          <w:color w:val="000000"/>
          <w:lang w:eastAsia="de-DE"/>
        </w:rPr>
        <w:t>monatigen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>,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>intensive</w:t>
      </w:r>
      <w:r w:rsidR="00F568A9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 Verhandlungen mit qualifizierten Betreibern haben wir uns für die HOMMAGE 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 xml:space="preserve">Luxury Hotels Collection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und damit für die </w:t>
      </w:r>
      <w:r w:rsidR="004409E2" w:rsidRPr="00AB1894">
        <w:rPr>
          <w:rFonts w:ascii="Arial" w:eastAsia="Times New Roman" w:hAnsi="Arial" w:cs="Arial"/>
          <w:color w:val="000000"/>
          <w:lang w:eastAsia="de-DE"/>
        </w:rPr>
        <w:t>DHI</w:t>
      </w:r>
      <w:r w:rsidR="007F6E07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4409E2" w:rsidRPr="00AB1894">
        <w:rPr>
          <w:rFonts w:ascii="Arial" w:eastAsia="Times New Roman" w:hAnsi="Arial" w:cs="Arial"/>
          <w:color w:val="000000"/>
          <w:lang w:eastAsia="de-DE"/>
        </w:rPr>
        <w:t>e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>ntschieden</w:t>
      </w:r>
      <w:r w:rsidRPr="00AB1894">
        <w:rPr>
          <w:rFonts w:ascii="Arial" w:eastAsia="Times New Roman" w:hAnsi="Arial" w:cs="Arial"/>
          <w:color w:val="000000"/>
          <w:lang w:eastAsia="de-DE"/>
        </w:rPr>
        <w:t>“, so Eigentümer Othmar Seidl, Geschäftsführer der Kitz Immobilieninvest GmbH.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 „Ich habe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mir die 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>Entscheidung nicht leicht gemacht.</w:t>
      </w:r>
      <w:r w:rsidR="00F34195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F568A9" w:rsidRPr="00AB1894">
        <w:rPr>
          <w:rFonts w:ascii="Arial" w:eastAsia="Times New Roman" w:hAnsi="Arial" w:cs="Arial"/>
          <w:color w:val="000000"/>
          <w:lang w:eastAsia="de-DE"/>
        </w:rPr>
        <w:t>Letztendlich</w:t>
      </w:r>
      <w:r w:rsidR="00343DD7" w:rsidRPr="00AB1894">
        <w:rPr>
          <w:rFonts w:ascii="Arial" w:eastAsia="Times New Roman" w:hAnsi="Arial" w:cs="Arial"/>
          <w:color w:val="000000"/>
          <w:lang w:eastAsia="de-DE"/>
        </w:rPr>
        <w:t xml:space="preserve"> hat mich die partnerschaftliche Herangehensweise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von Dirk Iserlohe und seinem 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>Geschäftsführer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Jörg T. Böckeler (CEO HOMMAGE Luxury </w:t>
      </w:r>
      <w:r w:rsidR="0089574D" w:rsidRPr="00AB1894">
        <w:rPr>
          <w:rFonts w:ascii="Arial" w:eastAsia="Times New Roman" w:hAnsi="Arial" w:cs="Arial"/>
          <w:color w:val="000000"/>
          <w:lang w:eastAsia="de-DE"/>
        </w:rPr>
        <w:t xml:space="preserve">Hotels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Collection) überzeugt. </w:t>
      </w:r>
      <w:r w:rsidR="00A92A64" w:rsidRPr="00AB1894">
        <w:rPr>
          <w:rFonts w:ascii="Arial" w:eastAsia="Times New Roman" w:hAnsi="Arial" w:cs="Arial"/>
          <w:color w:val="000000"/>
          <w:lang w:eastAsia="de-DE"/>
        </w:rPr>
        <w:t xml:space="preserve">Dabei war mir wichtig, dass der zukünftige Betreiber die geplante Erweiterung um 70 Zimmer und des Spa-Bereiches auf ca. 3.400 m², inklusive Modernisierung des bestehenden Bereiches adaptiert und für seine Gäste mit Leben füllen kann“, führt Seidl weiter aus.  </w:t>
      </w:r>
    </w:p>
    <w:p w14:paraId="3D21C434" w14:textId="3183E2C8" w:rsidR="00F34195" w:rsidRPr="00AB1894" w:rsidRDefault="00A92A64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t xml:space="preserve">Für </w:t>
      </w:r>
      <w:r w:rsidR="007F6E07" w:rsidRPr="00AB1894">
        <w:rPr>
          <w:rFonts w:ascii="Arial" w:eastAsia="Times New Roman" w:hAnsi="Arial" w:cs="Arial"/>
          <w:color w:val="000000"/>
          <w:lang w:eastAsia="de-DE"/>
        </w:rPr>
        <w:t xml:space="preserve">Dorint Geschäftsführer Jörg T. </w:t>
      </w:r>
      <w:r w:rsidRPr="00AB1894">
        <w:rPr>
          <w:rFonts w:ascii="Arial" w:eastAsia="Times New Roman" w:hAnsi="Arial" w:cs="Arial"/>
          <w:color w:val="000000"/>
          <w:lang w:eastAsia="de-DE"/>
        </w:rPr>
        <w:t>Böck</w:t>
      </w:r>
      <w:r w:rsidR="00030D0E" w:rsidRPr="00AB1894">
        <w:rPr>
          <w:rFonts w:ascii="Arial" w:eastAsia="Times New Roman" w:hAnsi="Arial" w:cs="Arial"/>
          <w:color w:val="000000"/>
          <w:lang w:eastAsia="de-DE"/>
        </w:rPr>
        <w:t>e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ler </w:t>
      </w:r>
      <w:r w:rsidR="007F6E07" w:rsidRPr="00AB1894">
        <w:rPr>
          <w:rFonts w:ascii="Arial" w:eastAsia="Times New Roman" w:hAnsi="Arial" w:cs="Arial"/>
          <w:color w:val="000000"/>
          <w:lang w:eastAsia="de-DE"/>
        </w:rPr>
        <w:t xml:space="preserve">(Marketing und Operations) </w:t>
      </w:r>
      <w:r w:rsidRPr="00AB1894">
        <w:rPr>
          <w:rFonts w:ascii="Arial" w:eastAsia="Times New Roman" w:hAnsi="Arial" w:cs="Arial"/>
          <w:color w:val="000000"/>
          <w:lang w:eastAsia="de-DE"/>
        </w:rPr>
        <w:t>war gerade d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er v</w:t>
      </w:r>
      <w:r w:rsidR="00F34195" w:rsidRPr="00AB1894">
        <w:rPr>
          <w:rFonts w:ascii="Arial" w:eastAsia="Times New Roman" w:hAnsi="Arial" w:cs="Arial"/>
          <w:color w:val="000000"/>
          <w:lang w:eastAsia="de-DE"/>
        </w:rPr>
        <w:t>om renommierten Designer Kyle Phillips als 6.092-Meter-Par-71-Layout entworfen</w:t>
      </w:r>
      <w:r w:rsidRPr="00AB1894">
        <w:rPr>
          <w:rFonts w:ascii="Arial" w:eastAsia="Times New Roman" w:hAnsi="Arial" w:cs="Arial"/>
          <w:color w:val="000000"/>
          <w:lang w:eastAsia="de-DE"/>
        </w:rPr>
        <w:t>e</w:t>
      </w:r>
      <w:r w:rsidR="00F34195" w:rsidRPr="00AB1894">
        <w:rPr>
          <w:rFonts w:ascii="Arial" w:eastAsia="Times New Roman" w:hAnsi="Arial" w:cs="Arial"/>
          <w:color w:val="000000"/>
          <w:lang w:eastAsia="de-DE"/>
        </w:rPr>
        <w:t xml:space="preserve"> und im Jahr 2000 erbaut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e </w:t>
      </w:r>
      <w:r w:rsidR="00F34195" w:rsidRPr="00AB1894">
        <w:rPr>
          <w:rFonts w:ascii="Arial" w:eastAsia="Times New Roman" w:hAnsi="Arial" w:cs="Arial"/>
          <w:color w:val="000000"/>
          <w:lang w:eastAsia="de-DE"/>
        </w:rPr>
        <w:t>18-Loch Championship-Course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 Eichenheim, </w:t>
      </w:r>
      <w:r w:rsidRPr="00AB1894">
        <w:rPr>
          <w:rFonts w:ascii="Arial" w:eastAsia="Times New Roman" w:hAnsi="Arial" w:cs="Arial"/>
          <w:color w:val="000000"/>
          <w:lang w:eastAsia="de-DE"/>
        </w:rPr>
        <w:t>ein ausschlag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>g</w:t>
      </w:r>
      <w:r w:rsidRPr="00AB1894">
        <w:rPr>
          <w:rFonts w:ascii="Arial" w:eastAsia="Times New Roman" w:hAnsi="Arial" w:cs="Arial"/>
          <w:color w:val="000000"/>
          <w:lang w:eastAsia="de-DE"/>
        </w:rPr>
        <w:t>ebendes Element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 xml:space="preserve"> für den Standort. Der Golfplatz Eichenheim gehört zu den TOP 10 </w:t>
      </w:r>
      <w:r w:rsidR="007F6E07" w:rsidRPr="00AB1894">
        <w:rPr>
          <w:rFonts w:ascii="Arial" w:eastAsia="Times New Roman" w:hAnsi="Arial" w:cs="Arial"/>
          <w:color w:val="000000"/>
          <w:lang w:eastAsia="de-DE"/>
        </w:rPr>
        <w:t xml:space="preserve">in 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 xml:space="preserve">Europa und lässt 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 xml:space="preserve">insbesondere 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>durch d</w:t>
      </w:r>
      <w:r w:rsidR="007F6E07" w:rsidRPr="00AB1894">
        <w:rPr>
          <w:rFonts w:ascii="Arial" w:eastAsia="Times New Roman" w:hAnsi="Arial" w:cs="Arial"/>
          <w:color w:val="000000"/>
          <w:lang w:eastAsia="de-DE"/>
        </w:rPr>
        <w:t xml:space="preserve">as fantastische 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>Panoram</w:t>
      </w:r>
      <w:r w:rsidR="003D42C4" w:rsidRPr="00AB1894">
        <w:rPr>
          <w:rFonts w:ascii="Arial" w:eastAsia="Times New Roman" w:hAnsi="Arial" w:cs="Arial"/>
          <w:color w:val="000000"/>
          <w:lang w:eastAsia="de-DE"/>
        </w:rPr>
        <w:t>a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 xml:space="preserve">jedes </w:t>
      </w:r>
      <w:r w:rsidR="003D42C4" w:rsidRPr="00AB1894">
        <w:rPr>
          <w:rFonts w:ascii="Arial" w:eastAsia="Times New Roman" w:hAnsi="Arial" w:cs="Arial"/>
          <w:color w:val="000000"/>
          <w:lang w:eastAsia="de-DE"/>
        </w:rPr>
        <w:t>‚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>Golferherz</w:t>
      </w:r>
      <w:r w:rsidR="003D42C4" w:rsidRPr="00AB1894">
        <w:rPr>
          <w:rFonts w:ascii="Arial" w:eastAsia="Times New Roman" w:hAnsi="Arial" w:cs="Arial"/>
          <w:color w:val="000000"/>
          <w:lang w:eastAsia="de-DE"/>
        </w:rPr>
        <w:t>‘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347414" w:rsidRPr="00AB1894">
        <w:rPr>
          <w:rFonts w:ascii="Arial" w:eastAsia="Times New Roman" w:hAnsi="Arial" w:cs="Arial"/>
          <w:color w:val="000000"/>
          <w:lang w:eastAsia="de-DE"/>
        </w:rPr>
        <w:t xml:space="preserve">höherschlagen. </w:t>
      </w:r>
    </w:p>
    <w:p w14:paraId="27918F2C" w14:textId="7C39B1D8" w:rsidR="00E05867" w:rsidRPr="00AB1894" w:rsidRDefault="00347414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lastRenderedPageBreak/>
        <w:t xml:space="preserve">Das </w:t>
      </w:r>
      <w:r w:rsidR="006C29AB" w:rsidRPr="00AB1894">
        <w:rPr>
          <w:rFonts w:ascii="Arial" w:eastAsia="Times New Roman" w:hAnsi="Arial" w:cs="Arial"/>
          <w:color w:val="000000"/>
          <w:lang w:eastAsia="de-DE"/>
        </w:rPr>
        <w:t xml:space="preserve">Resort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wird </w:t>
      </w:r>
      <w:r w:rsidR="00CE79B0" w:rsidRPr="00AB1894">
        <w:rPr>
          <w:rFonts w:ascii="Arial" w:eastAsia="Times New Roman" w:hAnsi="Arial" w:cs="Arial"/>
          <w:color w:val="000000"/>
          <w:lang w:eastAsia="de-DE"/>
        </w:rPr>
        <w:t xml:space="preserve">rechtzeitig zur kommenden </w:t>
      </w:r>
      <w:r w:rsidR="006C29AB" w:rsidRPr="00AB1894">
        <w:rPr>
          <w:rFonts w:ascii="Arial" w:eastAsia="Times New Roman" w:hAnsi="Arial" w:cs="Arial"/>
          <w:color w:val="000000"/>
          <w:lang w:eastAsia="de-DE"/>
        </w:rPr>
        <w:t>Skis</w:t>
      </w:r>
      <w:r w:rsidR="00E075BC" w:rsidRPr="00AB1894">
        <w:rPr>
          <w:rFonts w:ascii="Arial" w:eastAsia="Times New Roman" w:hAnsi="Arial" w:cs="Arial"/>
          <w:color w:val="000000"/>
          <w:lang w:eastAsia="de-DE"/>
        </w:rPr>
        <w:t>ais</w:t>
      </w:r>
      <w:r w:rsidR="006C29AB" w:rsidRPr="00AB1894">
        <w:rPr>
          <w:rFonts w:ascii="Arial" w:eastAsia="Times New Roman" w:hAnsi="Arial" w:cs="Arial"/>
          <w:color w:val="000000"/>
          <w:lang w:eastAsia="de-DE"/>
        </w:rPr>
        <w:t>on</w:t>
      </w:r>
      <w:r w:rsidR="00CE79B0" w:rsidRPr="00AB1894">
        <w:rPr>
          <w:rFonts w:ascii="Arial" w:eastAsia="Times New Roman" w:hAnsi="Arial" w:cs="Arial"/>
          <w:color w:val="000000"/>
          <w:lang w:eastAsia="de-DE"/>
        </w:rPr>
        <w:t xml:space="preserve"> am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20.12.2021 geöffnet. 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>„Wir werden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 xml:space="preserve">das Grand </w:t>
      </w:r>
      <w:r w:rsidR="00F568A9" w:rsidRPr="00AB1894">
        <w:rPr>
          <w:rFonts w:ascii="Arial" w:eastAsia="Times New Roman" w:hAnsi="Arial" w:cs="Arial"/>
          <w:color w:val="000000"/>
          <w:lang w:eastAsia="de-DE"/>
        </w:rPr>
        <w:t>Tirolia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 xml:space="preserve"> mit 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>unsere</w:t>
      </w:r>
      <w:r w:rsidR="002E2711" w:rsidRPr="00AB1894">
        <w:rPr>
          <w:rFonts w:ascii="Arial" w:eastAsia="Times New Roman" w:hAnsi="Arial" w:cs="Arial"/>
          <w:color w:val="000000"/>
          <w:lang w:eastAsia="de-DE"/>
        </w:rPr>
        <w:t>r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 xml:space="preserve"> über 60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-jährigen Hotel-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>Erfahrung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und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 xml:space="preserve"> mit 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unsere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r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>Re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>s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>ort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-S</w:t>
      </w:r>
      <w:r w:rsidR="00E860E9" w:rsidRPr="00AB1894">
        <w:rPr>
          <w:rFonts w:ascii="Arial" w:eastAsia="Times New Roman" w:hAnsi="Arial" w:cs="Arial"/>
          <w:color w:val="000000"/>
          <w:lang w:eastAsia="de-DE"/>
        </w:rPr>
        <w:t xml:space="preserve">trategie 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zum Erfolg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führen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“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, ist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Jörg T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.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 Böckeler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überzeugt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„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Das Kitzbüheler Luxushotel ergänzt unser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e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 bestehenden Häuser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– </w:t>
      </w:r>
      <w:r w:rsidR="00AE2EFE" w:rsidRPr="00AB1894">
        <w:rPr>
          <w:rFonts w:ascii="Arial" w:eastAsia="Times New Roman" w:hAnsi="Arial" w:cs="Arial"/>
          <w:color w:val="000000"/>
          <w:lang w:eastAsia="de-DE"/>
        </w:rPr>
        <w:t xml:space="preserve">das 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 xml:space="preserve">Maison Messmer in Baden-Baden,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den 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 xml:space="preserve">Nassauer Hof in Wiesbaden,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das 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Parkhotel 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>Breme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 xml:space="preserve">n und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den 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>Söl’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>Ri</w:t>
      </w:r>
      <w:r w:rsidR="005334F9" w:rsidRPr="00AB1894">
        <w:rPr>
          <w:rFonts w:ascii="Arial" w:eastAsia="Times New Roman" w:hAnsi="Arial" w:cs="Arial"/>
          <w:color w:val="000000"/>
          <w:lang w:eastAsia="de-DE"/>
        </w:rPr>
        <w:t>ng Hof auf Syl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t – </w:t>
      </w:r>
      <w:r w:rsidR="003A45F1" w:rsidRPr="00AB1894">
        <w:rPr>
          <w:rFonts w:ascii="Arial" w:eastAsia="Times New Roman" w:hAnsi="Arial" w:cs="Arial"/>
          <w:color w:val="000000"/>
          <w:lang w:eastAsia="de-DE"/>
        </w:rPr>
        <w:t>perfekt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“, 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 xml:space="preserve">zählt </w:t>
      </w:r>
      <w:r w:rsidRPr="00AB1894">
        <w:rPr>
          <w:rFonts w:ascii="Arial" w:eastAsia="Times New Roman" w:hAnsi="Arial" w:cs="Arial"/>
          <w:color w:val="000000"/>
          <w:lang w:eastAsia="de-DE"/>
        </w:rPr>
        <w:t>Böckeler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 xml:space="preserve"> begeistert auf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„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Ein </w:t>
      </w:r>
      <w:r w:rsidR="00CE79B0" w:rsidRPr="00AB1894">
        <w:rPr>
          <w:rFonts w:ascii="Arial" w:eastAsia="Times New Roman" w:hAnsi="Arial" w:cs="Arial"/>
          <w:color w:val="000000"/>
          <w:lang w:eastAsia="de-DE"/>
        </w:rPr>
        <w:t xml:space="preserve">weiteres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Juwel in unsere 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>K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olle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>k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tion, in dem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unsere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Gäste </w:t>
      </w:r>
      <w:r w:rsidRPr="00AB1894">
        <w:rPr>
          <w:rFonts w:ascii="Arial" w:eastAsia="Times New Roman" w:hAnsi="Arial" w:cs="Arial"/>
          <w:color w:val="000000"/>
          <w:lang w:eastAsia="de-DE"/>
        </w:rPr>
        <w:t>unaufdringlichen L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uxus </w:t>
      </w:r>
      <w:r w:rsidR="001E043F" w:rsidRPr="00AB1894">
        <w:rPr>
          <w:rFonts w:ascii="Arial" w:eastAsia="Times New Roman" w:hAnsi="Arial" w:cs="Arial"/>
          <w:color w:val="000000"/>
          <w:lang w:eastAsia="de-DE"/>
        </w:rPr>
        <w:t>und ac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 xml:space="preserve">htsamen Service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genießen können.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“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524FA785" w14:textId="7E839EBD" w:rsidR="00AB3D4F" w:rsidRPr="00AB1894" w:rsidRDefault="002837AE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t>Der europäische Binnentourismus hat s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ich s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eit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Beginn der </w:t>
      </w:r>
      <w:r w:rsidRPr="00AB1894">
        <w:rPr>
          <w:rFonts w:ascii="Arial" w:eastAsia="Times New Roman" w:hAnsi="Arial" w:cs="Arial"/>
          <w:color w:val="000000"/>
          <w:lang w:eastAsia="de-DE"/>
        </w:rPr>
        <w:t>Corona</w:t>
      </w:r>
      <w:r w:rsidR="00D549EA" w:rsidRPr="00AB1894">
        <w:rPr>
          <w:rFonts w:ascii="Arial" w:eastAsia="Times New Roman" w:hAnsi="Arial" w:cs="Arial"/>
          <w:color w:val="000000"/>
          <w:lang w:eastAsia="de-DE"/>
        </w:rPr>
        <w:t>-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Krise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deutl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i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ch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s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tärker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entwickelt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als je zuvor.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Nachhaltiges Reisen bedeutet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heute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nicht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mehr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so </w:t>
      </w:r>
      <w:r w:rsidR="00C64CD8" w:rsidRPr="00AB1894">
        <w:rPr>
          <w:rFonts w:ascii="Arial" w:eastAsia="Times New Roman" w:hAnsi="Arial" w:cs="Arial"/>
          <w:color w:val="000000"/>
          <w:lang w:eastAsia="de-DE"/>
        </w:rPr>
        <w:t>oft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in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die Ferne zu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reisen, sondern Urlaub vor der eigenen Haustür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zu </w:t>
      </w:r>
      <w:r w:rsidR="00C64CD8" w:rsidRPr="00AB1894">
        <w:rPr>
          <w:rFonts w:ascii="Arial" w:eastAsia="Times New Roman" w:hAnsi="Arial" w:cs="Arial"/>
          <w:color w:val="000000"/>
          <w:lang w:eastAsia="de-DE"/>
        </w:rPr>
        <w:t>genieße</w:t>
      </w:r>
      <w:r w:rsidR="00AF4D14" w:rsidRPr="00AB1894">
        <w:rPr>
          <w:rFonts w:ascii="Arial" w:eastAsia="Times New Roman" w:hAnsi="Arial" w:cs="Arial"/>
          <w:color w:val="000000"/>
          <w:lang w:eastAsia="de-DE"/>
        </w:rPr>
        <w:t xml:space="preserve">n –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und das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in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den schönsten Regionen.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„</w:t>
      </w:r>
      <w:r w:rsidRPr="00AB1894">
        <w:rPr>
          <w:rFonts w:ascii="Arial" w:eastAsia="Times New Roman" w:hAnsi="Arial" w:cs="Arial"/>
          <w:color w:val="000000"/>
          <w:lang w:eastAsia="de-DE"/>
        </w:rPr>
        <w:t>Deshalb freut es un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s – n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ach Salzbur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g – m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it dem Grand Tirolia ei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C64CD8" w:rsidRPr="00AB1894">
        <w:rPr>
          <w:rFonts w:ascii="Arial" w:eastAsia="Times New Roman" w:hAnsi="Arial" w:cs="Arial"/>
          <w:color w:val="000000"/>
          <w:lang w:eastAsia="de-DE"/>
        </w:rPr>
        <w:t>weiteres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Hotel im Nachbarland </w:t>
      </w:r>
      <w:r w:rsidRPr="00AB1894">
        <w:rPr>
          <w:rFonts w:ascii="Arial" w:eastAsia="Times New Roman" w:hAnsi="Arial" w:cs="Arial"/>
          <w:color w:val="000000"/>
          <w:lang w:eastAsia="de-DE"/>
        </w:rPr>
        <w:t>Österreich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B1894">
        <w:rPr>
          <w:rFonts w:ascii="Arial" w:eastAsia="Times New Roman" w:hAnsi="Arial" w:cs="Arial"/>
          <w:color w:val="000000"/>
          <w:lang w:eastAsia="de-DE"/>
        </w:rPr>
        <w:t>übernehmen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 zu können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“, bekräftigt </w:t>
      </w:r>
      <w:r w:rsidR="00CE79B0" w:rsidRPr="00AB1894">
        <w:rPr>
          <w:rFonts w:ascii="Arial" w:eastAsia="Times New Roman" w:hAnsi="Arial" w:cs="Arial"/>
          <w:color w:val="000000"/>
          <w:lang w:eastAsia="de-DE"/>
        </w:rPr>
        <w:t xml:space="preserve">Jörg T </w:t>
      </w:r>
      <w:r w:rsidR="00522EFC" w:rsidRPr="00AB1894">
        <w:rPr>
          <w:rFonts w:ascii="Arial" w:eastAsia="Times New Roman" w:hAnsi="Arial" w:cs="Arial"/>
          <w:color w:val="000000"/>
          <w:lang w:eastAsia="de-DE"/>
        </w:rPr>
        <w:t xml:space="preserve">Böckeler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die Entscheidung. Er geht davon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aus,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 xml:space="preserve">dass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die deutsche Hotelgruppe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in Kürze noch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 mit weiteren </w:t>
      </w:r>
      <w:r w:rsidR="00E05867" w:rsidRPr="00AB1894">
        <w:rPr>
          <w:rFonts w:ascii="Arial" w:eastAsia="Times New Roman" w:hAnsi="Arial" w:cs="Arial"/>
          <w:color w:val="000000"/>
          <w:lang w:eastAsia="de-DE"/>
        </w:rPr>
        <w:t>Hotel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s unter den Marken der DHI in Österreich</w:t>
      </w:r>
      <w:r w:rsidR="00FB3922" w:rsidRPr="00AB1894">
        <w:rPr>
          <w:rFonts w:ascii="Arial" w:eastAsia="Times New Roman" w:hAnsi="Arial" w:cs="Arial"/>
          <w:color w:val="000000"/>
          <w:lang w:eastAsia="de-DE"/>
        </w:rPr>
        <w:t>,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 xml:space="preserve">aber auch der Schweiz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wachsen wird. </w:t>
      </w:r>
    </w:p>
    <w:p w14:paraId="5AAC4011" w14:textId="313F5141" w:rsidR="00530549" w:rsidRPr="00AB1894" w:rsidRDefault="004E5409" w:rsidP="007322AF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AB1894">
        <w:rPr>
          <w:rFonts w:ascii="Arial" w:eastAsia="Times New Roman" w:hAnsi="Arial" w:cs="Arial"/>
          <w:color w:val="000000"/>
          <w:lang w:eastAsia="de-DE"/>
        </w:rPr>
        <w:t>Nachdem di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e Dorint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Gruppe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in der Vergangenheit bereits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mit mehreren Golfplätzen </w:t>
      </w:r>
      <w:r w:rsidR="002E2711" w:rsidRPr="00AB1894">
        <w:rPr>
          <w:rFonts w:ascii="Arial" w:eastAsia="Times New Roman" w:hAnsi="Arial" w:cs="Arial"/>
          <w:color w:val="000000"/>
          <w:lang w:eastAsia="de-DE"/>
        </w:rPr>
        <w:t>E</w:t>
      </w:r>
      <w:r w:rsidRPr="00AB1894">
        <w:rPr>
          <w:rFonts w:ascii="Arial" w:eastAsia="Times New Roman" w:hAnsi="Arial" w:cs="Arial"/>
          <w:color w:val="000000"/>
          <w:lang w:eastAsia="de-DE"/>
        </w:rPr>
        <w:t>rfahrung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en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gesammelt hat, ist es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der Dorint Führungs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s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pitze besonders wichtig,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das Resort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komplett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aus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einer Hand zu führen.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Daher w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e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rden a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lle für die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Gäste </w:t>
      </w:r>
      <w:r w:rsidRPr="00AB1894">
        <w:rPr>
          <w:rFonts w:ascii="Arial" w:eastAsia="Times New Roman" w:hAnsi="Arial" w:cs="Arial"/>
          <w:color w:val="000000"/>
          <w:lang w:eastAsia="de-DE"/>
        </w:rPr>
        <w:t>zur Verfügung stehenden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 Bereiche vom Betreiber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betreut. </w:t>
      </w:r>
      <w:r w:rsidR="00530549" w:rsidRPr="00AB1894">
        <w:rPr>
          <w:rFonts w:ascii="Arial" w:eastAsia="Times New Roman" w:hAnsi="Arial" w:cs="Arial"/>
          <w:color w:val="000000"/>
          <w:lang w:eastAsia="de-DE"/>
        </w:rPr>
        <w:lastRenderedPageBreak/>
        <w:t>„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U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nsere</w:t>
      </w:r>
      <w:r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kompetenten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und sympathischen </w:t>
      </w:r>
      <w:r w:rsidRPr="00AB1894">
        <w:rPr>
          <w:rFonts w:ascii="Arial" w:eastAsia="Times New Roman" w:hAnsi="Arial" w:cs="Arial"/>
          <w:color w:val="000000"/>
          <w:lang w:eastAsia="de-DE"/>
        </w:rPr>
        <w:t>Mitarbeiter</w:t>
      </w:r>
      <w:r w:rsidR="00530549" w:rsidRPr="00AB189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werden schon bald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den Gä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s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ten die W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ü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n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s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che von den Augen ablesen, ganz gleich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>,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 ob es </w:t>
      </w:r>
      <w:r w:rsidRPr="00AB1894">
        <w:rPr>
          <w:rFonts w:ascii="Arial" w:eastAsia="Times New Roman" w:hAnsi="Arial" w:cs="Arial"/>
          <w:color w:val="000000"/>
          <w:lang w:eastAsia="de-DE"/>
        </w:rPr>
        <w:t>Golfer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="00C64CD8" w:rsidRPr="00AB1894">
        <w:rPr>
          <w:rFonts w:ascii="Arial" w:eastAsia="Times New Roman" w:hAnsi="Arial" w:cs="Arial"/>
          <w:color w:val="000000"/>
          <w:lang w:eastAsia="de-DE"/>
        </w:rPr>
        <w:t xml:space="preserve">Biker,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Wanderer </w:t>
      </w:r>
      <w:r w:rsidR="00EA0B3A" w:rsidRPr="00AB1894">
        <w:rPr>
          <w:rFonts w:ascii="Arial" w:eastAsia="Times New Roman" w:hAnsi="Arial" w:cs="Arial"/>
          <w:color w:val="000000"/>
          <w:lang w:eastAsia="de-DE"/>
        </w:rPr>
        <w:t xml:space="preserve">oder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Wintersportler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sind. Wir werden aber auch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anspruchsvolle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>Gourmet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 xml:space="preserve">-Wünsche erfüllen und darüber hinaus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Tagungen und Events professionell </w:t>
      </w:r>
      <w:r w:rsidR="000118D3" w:rsidRPr="00AB1894">
        <w:rPr>
          <w:rFonts w:ascii="Arial" w:eastAsia="Times New Roman" w:hAnsi="Arial" w:cs="Arial"/>
          <w:color w:val="000000"/>
          <w:lang w:eastAsia="de-DE"/>
        </w:rPr>
        <w:t>umsetzen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. Ziel ist es, allen Gästen gleichermaßen einen </w:t>
      </w:r>
      <w:r w:rsidR="00530549" w:rsidRPr="00AB1894">
        <w:rPr>
          <w:rFonts w:ascii="Arial" w:eastAsia="Times New Roman" w:hAnsi="Arial" w:cs="Arial"/>
          <w:color w:val="000000"/>
          <w:lang w:eastAsia="de-DE"/>
        </w:rPr>
        <w:t xml:space="preserve">sicheren, entspannten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und attraktiven Aufenthalt in der legendären Sportstadt Kitzbühel </w:t>
      </w:r>
      <w:r w:rsidR="00BE1AEF" w:rsidRPr="00AB1894">
        <w:rPr>
          <w:rFonts w:ascii="Arial" w:eastAsia="Times New Roman" w:hAnsi="Arial" w:cs="Arial"/>
          <w:color w:val="000000"/>
          <w:lang w:eastAsia="de-DE"/>
        </w:rPr>
        <w:t xml:space="preserve">in Tirol </w:t>
      </w:r>
      <w:r w:rsidR="00AB3D4F" w:rsidRPr="00AB1894">
        <w:rPr>
          <w:rFonts w:ascii="Arial" w:eastAsia="Times New Roman" w:hAnsi="Arial" w:cs="Arial"/>
          <w:color w:val="000000"/>
          <w:lang w:eastAsia="de-DE"/>
        </w:rPr>
        <w:t xml:space="preserve">zu </w:t>
      </w:r>
      <w:r w:rsidR="00530549" w:rsidRPr="00AB1894">
        <w:rPr>
          <w:rFonts w:ascii="Arial" w:eastAsia="Times New Roman" w:hAnsi="Arial" w:cs="Arial"/>
          <w:color w:val="000000"/>
          <w:lang w:eastAsia="de-DE"/>
        </w:rPr>
        <w:t>ermöglichen“, schwärmt Jörg T. Böckeler.</w:t>
      </w:r>
    </w:p>
    <w:p w14:paraId="2A506A1F" w14:textId="37AE6B3C" w:rsidR="00376D12" w:rsidRPr="00AB1894" w:rsidRDefault="00432D33" w:rsidP="007322AF">
      <w:pPr>
        <w:tabs>
          <w:tab w:val="left" w:pos="6804"/>
        </w:tabs>
        <w:spacing w:line="360" w:lineRule="auto"/>
        <w:ind w:right="1699"/>
        <w:jc w:val="both"/>
        <w:rPr>
          <w:rStyle w:val="Hyperlink"/>
          <w:rFonts w:ascii="Arial" w:hAnsi="Arial" w:cs="Arial"/>
        </w:rPr>
      </w:pPr>
      <w:hyperlink r:id="rId11" w:history="1">
        <w:r w:rsidR="00376D12" w:rsidRPr="00AB1894">
          <w:rPr>
            <w:rStyle w:val="Hyperlink"/>
            <w:rFonts w:ascii="Arial" w:hAnsi="Arial" w:cs="Arial"/>
          </w:rPr>
          <w:t>www.dorint.com</w:t>
        </w:r>
      </w:hyperlink>
    </w:p>
    <w:p w14:paraId="3954A374" w14:textId="77777777" w:rsidR="00060595" w:rsidRPr="00AB1894" w:rsidRDefault="00060595" w:rsidP="007322AF">
      <w:pPr>
        <w:tabs>
          <w:tab w:val="left" w:pos="6804"/>
        </w:tabs>
        <w:spacing w:line="360" w:lineRule="auto"/>
        <w:ind w:right="1699"/>
        <w:jc w:val="both"/>
        <w:rPr>
          <w:rFonts w:ascii="Arial" w:hAnsi="Arial" w:cs="Arial"/>
          <w:sz w:val="24"/>
          <w:szCs w:val="24"/>
        </w:rPr>
      </w:pPr>
    </w:p>
    <w:p w14:paraId="7125F49F" w14:textId="77777777" w:rsidR="003A6097" w:rsidRPr="00AB1894" w:rsidRDefault="003A6097" w:rsidP="007322AF">
      <w:pPr>
        <w:pStyle w:val="NurText"/>
        <w:tabs>
          <w:tab w:val="left" w:pos="6804"/>
        </w:tabs>
        <w:ind w:right="1699"/>
        <w:jc w:val="both"/>
        <w:rPr>
          <w:rFonts w:ascii="Arial" w:hAnsi="Arial" w:cs="Arial"/>
          <w:b/>
          <w:bCs/>
          <w:sz w:val="16"/>
          <w:szCs w:val="16"/>
        </w:rPr>
      </w:pPr>
      <w:r w:rsidRPr="00AB1894">
        <w:rPr>
          <w:rFonts w:ascii="Arial" w:hAnsi="Arial" w:cs="Arial"/>
          <w:b/>
          <w:bCs/>
          <w:sz w:val="16"/>
          <w:szCs w:val="16"/>
        </w:rPr>
        <w:t>Über die DHI Dorint Hospitality &amp; Innovation GmbH:</w:t>
      </w:r>
    </w:p>
    <w:p w14:paraId="58266408" w14:textId="013C0021" w:rsidR="003A6097" w:rsidRPr="00AB1894" w:rsidRDefault="003A6097" w:rsidP="007322AF">
      <w:pPr>
        <w:pStyle w:val="NurText"/>
        <w:tabs>
          <w:tab w:val="left" w:pos="6804"/>
        </w:tabs>
        <w:ind w:right="1699"/>
        <w:jc w:val="both"/>
        <w:rPr>
          <w:rFonts w:ascii="Arial" w:hAnsi="Arial" w:cs="Arial"/>
          <w:sz w:val="16"/>
          <w:szCs w:val="16"/>
        </w:rPr>
      </w:pPr>
      <w:r w:rsidRPr="00AB1894">
        <w:rPr>
          <w:rFonts w:ascii="Arial" w:hAnsi="Arial" w:cs="Arial"/>
          <w:sz w:val="16"/>
          <w:szCs w:val="16"/>
        </w:rPr>
        <w:t xml:space="preserve">Die DHI Dorint Hospitality &amp; Innovation GmbH mit Sitz in Köln gehört zu den führenden deutschen Hotelgesellschaften. Das Traditions-Unternehmen betreibt unter den Marken „Dorint Hotels &amp; Resorts“, „Hommage Luxury Hotels Collection“ und „Essential by Dorint“ heute </w:t>
      </w:r>
      <w:r w:rsidR="00E85AD6" w:rsidRPr="00AB1894">
        <w:rPr>
          <w:rFonts w:ascii="Arial" w:hAnsi="Arial" w:cs="Arial"/>
          <w:sz w:val="16"/>
          <w:szCs w:val="16"/>
        </w:rPr>
        <w:t xml:space="preserve">an die </w:t>
      </w:r>
      <w:r w:rsidRPr="00AB1894">
        <w:rPr>
          <w:rFonts w:ascii="Arial" w:hAnsi="Arial" w:cs="Arial"/>
          <w:sz w:val="16"/>
          <w:szCs w:val="16"/>
        </w:rPr>
        <w:t xml:space="preserve">60 Häuser – davon drei in der Schweiz und </w:t>
      </w:r>
      <w:r w:rsidR="004E5409" w:rsidRPr="00AB1894">
        <w:rPr>
          <w:rFonts w:ascii="Arial" w:hAnsi="Arial" w:cs="Arial"/>
          <w:sz w:val="16"/>
          <w:szCs w:val="16"/>
        </w:rPr>
        <w:t>nun zwei</w:t>
      </w:r>
      <w:r w:rsidRPr="00AB1894">
        <w:rPr>
          <w:rFonts w:ascii="Arial" w:hAnsi="Arial" w:cs="Arial"/>
          <w:sz w:val="16"/>
          <w:szCs w:val="16"/>
        </w:rPr>
        <w:t xml:space="preserve"> in Österreich. Im Konzern sind inzwischen über 3.800 Mitarbeiter beschäftigt. Am 25. September 2019 wurde die Marke „Dorint Hotels &amp; Resorts" 60 Jahre alt.</w:t>
      </w:r>
    </w:p>
    <w:p w14:paraId="4861C3EA" w14:textId="77777777" w:rsidR="00931871" w:rsidRPr="00AB1894" w:rsidRDefault="00931871" w:rsidP="007322AF">
      <w:pPr>
        <w:pStyle w:val="NurText"/>
        <w:tabs>
          <w:tab w:val="left" w:pos="6804"/>
        </w:tabs>
        <w:ind w:right="1699"/>
        <w:jc w:val="both"/>
        <w:rPr>
          <w:rFonts w:ascii="Arial" w:hAnsi="Arial" w:cs="Arial"/>
          <w:sz w:val="16"/>
          <w:szCs w:val="16"/>
        </w:rPr>
      </w:pPr>
    </w:p>
    <w:p w14:paraId="1330DEF2" w14:textId="3EB2592F" w:rsidR="005C04A6" w:rsidRPr="00AB1894" w:rsidRDefault="003A6097" w:rsidP="007322AF">
      <w:pPr>
        <w:pStyle w:val="Textkrper2"/>
        <w:tabs>
          <w:tab w:val="left" w:pos="6804"/>
        </w:tabs>
        <w:ind w:right="1699"/>
        <w:jc w:val="both"/>
        <w:rPr>
          <w:rFonts w:ascii="Arial" w:hAnsi="Arial" w:cs="Arial"/>
          <w:sz w:val="16"/>
          <w:szCs w:val="16"/>
        </w:rPr>
      </w:pPr>
      <w:r w:rsidRPr="00AB1894">
        <w:rPr>
          <w:rFonts w:ascii="Arial" w:hAnsi="Arial" w:cs="Arial"/>
          <w:sz w:val="16"/>
          <w:szCs w:val="16"/>
        </w:rPr>
        <w:t>dorint.com ∙ hommage-hotels.com</w:t>
      </w:r>
    </w:p>
    <w:p w14:paraId="37AF431A" w14:textId="38D3FD6F" w:rsidR="00C64CD8" w:rsidRPr="00C64CD8" w:rsidRDefault="00C64CD8" w:rsidP="00C64CD8">
      <w:pPr>
        <w:tabs>
          <w:tab w:val="left" w:pos="2895"/>
        </w:tabs>
        <w:rPr>
          <w:lang w:eastAsia="de-DE"/>
        </w:rPr>
      </w:pPr>
    </w:p>
    <w:sectPr w:rsidR="00C64CD8" w:rsidRPr="00C64CD8" w:rsidSect="006C2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820" w:right="1418" w:bottom="3261" w:left="1418" w:header="25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8B74" w14:textId="77777777" w:rsidR="00A078D7" w:rsidRDefault="00A078D7" w:rsidP="00C9630E">
      <w:pPr>
        <w:spacing w:after="0" w:line="240" w:lineRule="auto"/>
      </w:pPr>
      <w:r>
        <w:separator/>
      </w:r>
    </w:p>
  </w:endnote>
  <w:endnote w:type="continuationSeparator" w:id="0">
    <w:p w14:paraId="24D3CC18" w14:textId="77777777" w:rsidR="00A078D7" w:rsidRDefault="00A078D7" w:rsidP="00C9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641D" w14:textId="77777777" w:rsidR="00CD4918" w:rsidRDefault="00CD4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06749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90F592" w14:textId="495C17F7" w:rsidR="00CD4918" w:rsidRDefault="00CD4918">
            <w:pPr>
              <w:pStyle w:val="Fuzeile"/>
              <w:jc w:val="center"/>
            </w:pPr>
            <w:r w:rsidRPr="00CD4918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D4918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D49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E9A12" w14:textId="77777777" w:rsidR="00CD4918" w:rsidRDefault="00CD49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EAF1" w14:textId="77777777" w:rsidR="00CD4918" w:rsidRDefault="00CD4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097A" w14:textId="77777777" w:rsidR="00A078D7" w:rsidRDefault="00A078D7" w:rsidP="00C9630E">
      <w:pPr>
        <w:spacing w:after="0" w:line="240" w:lineRule="auto"/>
      </w:pPr>
      <w:r>
        <w:separator/>
      </w:r>
    </w:p>
  </w:footnote>
  <w:footnote w:type="continuationSeparator" w:id="0">
    <w:p w14:paraId="3946DEFB" w14:textId="77777777" w:rsidR="00A078D7" w:rsidRDefault="00A078D7" w:rsidP="00C9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961A" w14:textId="258462AE" w:rsidR="00F53D43" w:rsidRDefault="00432D33">
    <w:pPr>
      <w:pStyle w:val="Kopfzeile"/>
    </w:pPr>
    <w:r>
      <w:rPr>
        <w:noProof/>
      </w:rPr>
      <w:pict w14:anchorId="62CA6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35251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HI_3Ketten_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DB90" w14:textId="08F1D15B" w:rsidR="00C9630E" w:rsidRDefault="00432D33">
    <w:pPr>
      <w:pStyle w:val="Kopfzeile"/>
    </w:pPr>
    <w:r>
      <w:rPr>
        <w:noProof/>
      </w:rPr>
      <w:pict w14:anchorId="3FF93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35252" o:spid="_x0000_s2050" type="#_x0000_t75" alt="" style="position:absolute;margin-left:0;margin-top:0;width:595.2pt;height:841.9pt;z-index:-251656192;mso-wrap-edited:f;mso-width-percent:0;mso-height-percent:0;mso-position-horizontal:absolute;mso-position-horizontal-relative:page;mso-position-vertical:absolute;mso-position-vertical-relative:page;mso-width-percent:0;mso-height-percent:0" o:allowincell="f">
          <v:imagedata r:id="rId1" o:title="DHI_3Ketten_Hintergrun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4A31" w14:textId="4A14CB68" w:rsidR="00F53D43" w:rsidRDefault="00432D33">
    <w:pPr>
      <w:pStyle w:val="Kopfzeile"/>
    </w:pPr>
    <w:r>
      <w:rPr>
        <w:noProof/>
      </w:rPr>
      <w:pict w14:anchorId="1ACC2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3525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HI_3Ketten_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693C"/>
    <w:multiLevelType w:val="hybridMultilevel"/>
    <w:tmpl w:val="CC5A4F26"/>
    <w:lvl w:ilvl="0" w:tplc="03763C6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51B"/>
    <w:multiLevelType w:val="hybridMultilevel"/>
    <w:tmpl w:val="99C80514"/>
    <w:lvl w:ilvl="0" w:tplc="4BAA45B6">
      <w:start w:val="1"/>
      <w:numFmt w:val="bullet"/>
      <w:lvlText w:val="■"/>
      <w:lvlJc w:val="left"/>
      <w:pPr>
        <w:ind w:left="360" w:hanging="360"/>
      </w:pPr>
      <w:rPr>
        <w:rFonts w:ascii="CorpoS" w:hAnsi="CorpoS" w:hint="default"/>
        <w:color w:val="121A4E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4849"/>
    <w:multiLevelType w:val="hybridMultilevel"/>
    <w:tmpl w:val="1CE0349A"/>
    <w:lvl w:ilvl="0" w:tplc="58040C5A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52B7"/>
    <w:multiLevelType w:val="hybridMultilevel"/>
    <w:tmpl w:val="F2984CA4"/>
    <w:lvl w:ilvl="0" w:tplc="03763C6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7419"/>
    <w:multiLevelType w:val="hybridMultilevel"/>
    <w:tmpl w:val="4726D2BA"/>
    <w:lvl w:ilvl="0" w:tplc="03763C6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121A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0E"/>
    <w:rsid w:val="0001098A"/>
    <w:rsid w:val="000118D3"/>
    <w:rsid w:val="00021613"/>
    <w:rsid w:val="00030D0E"/>
    <w:rsid w:val="00035F29"/>
    <w:rsid w:val="00050033"/>
    <w:rsid w:val="00060595"/>
    <w:rsid w:val="000610EB"/>
    <w:rsid w:val="00064CF9"/>
    <w:rsid w:val="000948AE"/>
    <w:rsid w:val="000A3C90"/>
    <w:rsid w:val="000A40A2"/>
    <w:rsid w:val="000C1A89"/>
    <w:rsid w:val="000C7675"/>
    <w:rsid w:val="000D3667"/>
    <w:rsid w:val="000D371B"/>
    <w:rsid w:val="000F66CA"/>
    <w:rsid w:val="00101944"/>
    <w:rsid w:val="0010334F"/>
    <w:rsid w:val="0010571E"/>
    <w:rsid w:val="0014347A"/>
    <w:rsid w:val="00174E59"/>
    <w:rsid w:val="00176F7E"/>
    <w:rsid w:val="00177656"/>
    <w:rsid w:val="001B1CD2"/>
    <w:rsid w:val="001D275D"/>
    <w:rsid w:val="001E0407"/>
    <w:rsid w:val="001E043F"/>
    <w:rsid w:val="001F45C6"/>
    <w:rsid w:val="00226268"/>
    <w:rsid w:val="0022698F"/>
    <w:rsid w:val="002366E3"/>
    <w:rsid w:val="002503B1"/>
    <w:rsid w:val="00264E07"/>
    <w:rsid w:val="002771A8"/>
    <w:rsid w:val="002837AE"/>
    <w:rsid w:val="002856D6"/>
    <w:rsid w:val="0028637B"/>
    <w:rsid w:val="002A4C9E"/>
    <w:rsid w:val="002D5397"/>
    <w:rsid w:val="002E2711"/>
    <w:rsid w:val="002E57C6"/>
    <w:rsid w:val="002F7CA6"/>
    <w:rsid w:val="00305716"/>
    <w:rsid w:val="00314E9F"/>
    <w:rsid w:val="00316060"/>
    <w:rsid w:val="00323BAD"/>
    <w:rsid w:val="00343DD7"/>
    <w:rsid w:val="00346884"/>
    <w:rsid w:val="00347414"/>
    <w:rsid w:val="00376D12"/>
    <w:rsid w:val="0038001F"/>
    <w:rsid w:val="003808BB"/>
    <w:rsid w:val="003A27B0"/>
    <w:rsid w:val="003A45F1"/>
    <w:rsid w:val="003A6097"/>
    <w:rsid w:val="003B2589"/>
    <w:rsid w:val="003B71B3"/>
    <w:rsid w:val="003D42C4"/>
    <w:rsid w:val="003E0CEC"/>
    <w:rsid w:val="003E7E85"/>
    <w:rsid w:val="004055F3"/>
    <w:rsid w:val="004166CA"/>
    <w:rsid w:val="00421C65"/>
    <w:rsid w:val="004234C9"/>
    <w:rsid w:val="00432D33"/>
    <w:rsid w:val="00433B54"/>
    <w:rsid w:val="004409E2"/>
    <w:rsid w:val="00444970"/>
    <w:rsid w:val="00450F8F"/>
    <w:rsid w:val="00456CF6"/>
    <w:rsid w:val="00464AE4"/>
    <w:rsid w:val="004658CA"/>
    <w:rsid w:val="0048074F"/>
    <w:rsid w:val="004A0786"/>
    <w:rsid w:val="004B671E"/>
    <w:rsid w:val="004C277E"/>
    <w:rsid w:val="004E3696"/>
    <w:rsid w:val="004E395B"/>
    <w:rsid w:val="004E4B0D"/>
    <w:rsid w:val="004E5081"/>
    <w:rsid w:val="004E5409"/>
    <w:rsid w:val="004E6BDF"/>
    <w:rsid w:val="00522EFC"/>
    <w:rsid w:val="00527C82"/>
    <w:rsid w:val="00530549"/>
    <w:rsid w:val="00532B64"/>
    <w:rsid w:val="005334F9"/>
    <w:rsid w:val="0053716C"/>
    <w:rsid w:val="005432A0"/>
    <w:rsid w:val="0055159D"/>
    <w:rsid w:val="005525A8"/>
    <w:rsid w:val="00563753"/>
    <w:rsid w:val="00577750"/>
    <w:rsid w:val="005869B5"/>
    <w:rsid w:val="005A6585"/>
    <w:rsid w:val="005C04A6"/>
    <w:rsid w:val="005C16A4"/>
    <w:rsid w:val="005E7599"/>
    <w:rsid w:val="006005B7"/>
    <w:rsid w:val="00616D28"/>
    <w:rsid w:val="006266A0"/>
    <w:rsid w:val="00636303"/>
    <w:rsid w:val="006451E5"/>
    <w:rsid w:val="00667D37"/>
    <w:rsid w:val="006833F8"/>
    <w:rsid w:val="00687B9E"/>
    <w:rsid w:val="006937A4"/>
    <w:rsid w:val="006B3C12"/>
    <w:rsid w:val="006C29AB"/>
    <w:rsid w:val="006C4622"/>
    <w:rsid w:val="006C7E52"/>
    <w:rsid w:val="006D5240"/>
    <w:rsid w:val="006E5888"/>
    <w:rsid w:val="006E7BD8"/>
    <w:rsid w:val="007058D2"/>
    <w:rsid w:val="007069AF"/>
    <w:rsid w:val="00713104"/>
    <w:rsid w:val="00722653"/>
    <w:rsid w:val="007234F2"/>
    <w:rsid w:val="007322AF"/>
    <w:rsid w:val="00732D47"/>
    <w:rsid w:val="00733BA9"/>
    <w:rsid w:val="00755063"/>
    <w:rsid w:val="00766B6C"/>
    <w:rsid w:val="00771074"/>
    <w:rsid w:val="007A7CEC"/>
    <w:rsid w:val="007C001A"/>
    <w:rsid w:val="007C4921"/>
    <w:rsid w:val="007E650A"/>
    <w:rsid w:val="007F1DB0"/>
    <w:rsid w:val="007F25B3"/>
    <w:rsid w:val="007F6E07"/>
    <w:rsid w:val="007F6E94"/>
    <w:rsid w:val="00805183"/>
    <w:rsid w:val="00806CB1"/>
    <w:rsid w:val="008135C3"/>
    <w:rsid w:val="0081383C"/>
    <w:rsid w:val="00831FD9"/>
    <w:rsid w:val="00843CE2"/>
    <w:rsid w:val="00850CDA"/>
    <w:rsid w:val="00874A0B"/>
    <w:rsid w:val="0089574D"/>
    <w:rsid w:val="008B5247"/>
    <w:rsid w:val="008C4008"/>
    <w:rsid w:val="008D6692"/>
    <w:rsid w:val="008E4399"/>
    <w:rsid w:val="008E4B68"/>
    <w:rsid w:val="008F5E02"/>
    <w:rsid w:val="009011A2"/>
    <w:rsid w:val="00931871"/>
    <w:rsid w:val="009413B0"/>
    <w:rsid w:val="0096225C"/>
    <w:rsid w:val="0099237F"/>
    <w:rsid w:val="009B544A"/>
    <w:rsid w:val="009D27AD"/>
    <w:rsid w:val="009D4D07"/>
    <w:rsid w:val="009E0951"/>
    <w:rsid w:val="009E5D7D"/>
    <w:rsid w:val="009E79FD"/>
    <w:rsid w:val="009E7A93"/>
    <w:rsid w:val="009E7C46"/>
    <w:rsid w:val="00A030FE"/>
    <w:rsid w:val="00A078D7"/>
    <w:rsid w:val="00A07EA7"/>
    <w:rsid w:val="00A11FF0"/>
    <w:rsid w:val="00A21675"/>
    <w:rsid w:val="00A409E4"/>
    <w:rsid w:val="00A531FD"/>
    <w:rsid w:val="00A66464"/>
    <w:rsid w:val="00A92A64"/>
    <w:rsid w:val="00AB1894"/>
    <w:rsid w:val="00AB3D4F"/>
    <w:rsid w:val="00AC149B"/>
    <w:rsid w:val="00AC7262"/>
    <w:rsid w:val="00AE2EFE"/>
    <w:rsid w:val="00AF4D14"/>
    <w:rsid w:val="00B04E68"/>
    <w:rsid w:val="00B059F9"/>
    <w:rsid w:val="00B10F08"/>
    <w:rsid w:val="00B118D7"/>
    <w:rsid w:val="00B201EA"/>
    <w:rsid w:val="00B268A3"/>
    <w:rsid w:val="00B43C29"/>
    <w:rsid w:val="00B4628A"/>
    <w:rsid w:val="00B55FB0"/>
    <w:rsid w:val="00B661F8"/>
    <w:rsid w:val="00B8107A"/>
    <w:rsid w:val="00B82A1C"/>
    <w:rsid w:val="00B978B8"/>
    <w:rsid w:val="00BB6D8F"/>
    <w:rsid w:val="00BC055E"/>
    <w:rsid w:val="00BD1D30"/>
    <w:rsid w:val="00BD444C"/>
    <w:rsid w:val="00BE1AEF"/>
    <w:rsid w:val="00BF5B87"/>
    <w:rsid w:val="00C1169E"/>
    <w:rsid w:val="00C24392"/>
    <w:rsid w:val="00C43A4E"/>
    <w:rsid w:val="00C609C1"/>
    <w:rsid w:val="00C64CD8"/>
    <w:rsid w:val="00C817F3"/>
    <w:rsid w:val="00C9003D"/>
    <w:rsid w:val="00C9630E"/>
    <w:rsid w:val="00CB1F95"/>
    <w:rsid w:val="00CB36A2"/>
    <w:rsid w:val="00CB38DA"/>
    <w:rsid w:val="00CC4779"/>
    <w:rsid w:val="00CC48CC"/>
    <w:rsid w:val="00CD4918"/>
    <w:rsid w:val="00CD6A3B"/>
    <w:rsid w:val="00CE1CF8"/>
    <w:rsid w:val="00CE79B0"/>
    <w:rsid w:val="00CF4FFA"/>
    <w:rsid w:val="00D15D3F"/>
    <w:rsid w:val="00D27D2D"/>
    <w:rsid w:val="00D30169"/>
    <w:rsid w:val="00D33325"/>
    <w:rsid w:val="00D35638"/>
    <w:rsid w:val="00D549EA"/>
    <w:rsid w:val="00D63771"/>
    <w:rsid w:val="00D6499D"/>
    <w:rsid w:val="00D65493"/>
    <w:rsid w:val="00D7031E"/>
    <w:rsid w:val="00D716D3"/>
    <w:rsid w:val="00D824CC"/>
    <w:rsid w:val="00D83F0E"/>
    <w:rsid w:val="00D95080"/>
    <w:rsid w:val="00DB60D6"/>
    <w:rsid w:val="00DC6182"/>
    <w:rsid w:val="00DC7AEB"/>
    <w:rsid w:val="00E05867"/>
    <w:rsid w:val="00E075BC"/>
    <w:rsid w:val="00E20528"/>
    <w:rsid w:val="00E26157"/>
    <w:rsid w:val="00E27B00"/>
    <w:rsid w:val="00E343C1"/>
    <w:rsid w:val="00E432FA"/>
    <w:rsid w:val="00E51355"/>
    <w:rsid w:val="00E6197F"/>
    <w:rsid w:val="00E711F2"/>
    <w:rsid w:val="00E74CB4"/>
    <w:rsid w:val="00E83503"/>
    <w:rsid w:val="00E85AD6"/>
    <w:rsid w:val="00E860E9"/>
    <w:rsid w:val="00E878CE"/>
    <w:rsid w:val="00E87AD7"/>
    <w:rsid w:val="00EA0B3A"/>
    <w:rsid w:val="00EA7F66"/>
    <w:rsid w:val="00EB3603"/>
    <w:rsid w:val="00EC3C9E"/>
    <w:rsid w:val="00F34195"/>
    <w:rsid w:val="00F43E27"/>
    <w:rsid w:val="00F53D43"/>
    <w:rsid w:val="00F568A9"/>
    <w:rsid w:val="00F6281F"/>
    <w:rsid w:val="00F71F3C"/>
    <w:rsid w:val="00F9037A"/>
    <w:rsid w:val="00FB3922"/>
    <w:rsid w:val="00FD6FE2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E58936"/>
  <w15:docId w15:val="{D63A1596-8E3F-4CEA-A4CE-3BE74A5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EA7"/>
  </w:style>
  <w:style w:type="paragraph" w:styleId="berschrift4">
    <w:name w:val="heading 4"/>
    <w:basedOn w:val="Standard"/>
    <w:next w:val="Standard"/>
    <w:link w:val="berschrift4Zchn"/>
    <w:uiPriority w:val="99"/>
    <w:qFormat/>
    <w:rsid w:val="008B5247"/>
    <w:pPr>
      <w:keepNext/>
      <w:spacing w:after="0" w:line="240" w:lineRule="auto"/>
      <w:outlineLvl w:val="3"/>
    </w:pPr>
    <w:rPr>
      <w:rFonts w:ascii="Century Gothic" w:eastAsia="Times New Roman" w:hAnsi="Century Gothic" w:cs="Times New Roman"/>
      <w:b/>
      <w:b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30E"/>
  </w:style>
  <w:style w:type="paragraph" w:styleId="Fuzeile">
    <w:name w:val="footer"/>
    <w:basedOn w:val="Standard"/>
    <w:link w:val="FuzeileZchn"/>
    <w:uiPriority w:val="99"/>
    <w:unhideWhenUsed/>
    <w:rsid w:val="00C9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B9E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rsid w:val="00B82A1C"/>
    <w:pPr>
      <w:spacing w:after="0" w:line="240" w:lineRule="auto"/>
    </w:pPr>
    <w:rPr>
      <w:rFonts w:ascii="Univers" w:eastAsia="Times New Roman" w:hAnsi="Univers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2A1C"/>
    <w:rPr>
      <w:rFonts w:ascii="Univers" w:eastAsia="Times New Roman" w:hAnsi="Univers" w:cs="Times New Roman"/>
      <w:b/>
      <w:sz w:val="28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82A1C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82A1C"/>
    <w:rPr>
      <w:rFonts w:ascii="Calibri" w:eastAsia="Times New Roman" w:hAnsi="Calibri" w:cs="Times New Roman"/>
      <w:szCs w:val="2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B5247"/>
    <w:rPr>
      <w:rFonts w:ascii="Century Gothic" w:eastAsia="Times New Roman" w:hAnsi="Century Gothic" w:cs="Times New Roman"/>
      <w:b/>
      <w:bCs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C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C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C8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13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355"/>
    <w:rPr>
      <w:color w:val="605E5C"/>
      <w:shd w:val="clear" w:color="auto" w:fill="E1DFDD"/>
    </w:rPr>
  </w:style>
  <w:style w:type="table" w:customStyle="1" w:styleId="Formatvorlage1">
    <w:name w:val="Formatvorlage1"/>
    <w:basedOn w:val="NormaleTabelle"/>
    <w:uiPriority w:val="99"/>
    <w:rsid w:val="001D27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777777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DEDE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rin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56BAC3A5571479436CC7CA82FBF3C" ma:contentTypeVersion="9" ma:contentTypeDescription="Ein neues Dokument erstellen." ma:contentTypeScope="" ma:versionID="58d362d071c40977915c4b12be1a4932">
  <xsd:schema xmlns:xsd="http://www.w3.org/2001/XMLSchema" xmlns:xs="http://www.w3.org/2001/XMLSchema" xmlns:p="http://schemas.microsoft.com/office/2006/metadata/properties" xmlns:ns3="30072dde-a47d-425a-ab02-bd669a5032fb" targetNamespace="http://schemas.microsoft.com/office/2006/metadata/properties" ma:root="true" ma:fieldsID="0b3f950537799402f6c6e7f95cbe29bc" ns3:_="">
    <xsd:import namespace="30072dde-a47d-425a-ab02-bd669a503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2dde-a47d-425a-ab02-bd669a50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E5D95-83D5-43AF-910F-FB4DB884E0D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30072dde-a47d-425a-ab02-bd669a5032fb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16F241-BF10-4515-94C8-23A437A66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B364C-7A2E-429F-A24F-9DA6E5AB0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2dde-a47d-425a-ab02-bd669a503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287A9-0211-4408-B8E1-452F23870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Zappel, Nancy</dc:creator>
  <cp:lastModifiedBy>Maier, Sabine</cp:lastModifiedBy>
  <cp:revision>18</cp:revision>
  <cp:lastPrinted>2021-09-30T07:48:00Z</cp:lastPrinted>
  <dcterms:created xsi:type="dcterms:W3CDTF">2021-09-30T07:18:00Z</dcterms:created>
  <dcterms:modified xsi:type="dcterms:W3CDTF">2021-09-30T07:48:00Z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0x0101003C856BAC3A5571479436CC7CA82FBF3C</vt:lpwstr>
  </property>
</Properties>
</file>